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0A898">
      <w:pPr>
        <w:pStyle w:val="7"/>
        <w:widowControl/>
        <w:rPr>
          <w:rFonts w:hint="eastAsia"/>
          <w:lang w:val="en-US" w:eastAsia="zh-CN"/>
        </w:rPr>
      </w:pPr>
      <w:r>
        <w:rPr>
          <w:rFonts w:hint="eastAsia"/>
          <w:lang w:val="en-US" w:eastAsia="zh-CN"/>
        </w:rPr>
        <w:t>附件1</w:t>
      </w:r>
    </w:p>
    <w:p w14:paraId="3BFBD711">
      <w:pPr>
        <w:rPr>
          <w:rFonts w:hint="default"/>
          <w:sz w:val="24"/>
          <w:szCs w:val="24"/>
          <w:lang w:val="en-US" w:eastAsia="zh-CN"/>
        </w:rPr>
      </w:pPr>
    </w:p>
    <w:p w14:paraId="4C8D72E6">
      <w:pPr>
        <w:pStyle w:val="3"/>
        <w:widowControl/>
      </w:pPr>
      <w:bookmarkStart w:id="0" w:name="_GoBack"/>
      <w:r>
        <w:rPr>
          <w:rFonts w:hint="eastAsia"/>
        </w:rPr>
        <w:t>岗位</w:t>
      </w:r>
      <w:r>
        <w:rPr>
          <w:rFonts w:hint="eastAsia"/>
          <w:lang w:val="en-US" w:eastAsia="zh-CN"/>
        </w:rPr>
        <w:t>主要</w:t>
      </w:r>
      <w:r>
        <w:rPr>
          <w:rFonts w:hint="eastAsia"/>
        </w:rPr>
        <w:t>职责及任职资格</w:t>
      </w:r>
    </w:p>
    <w:bookmarkEnd w:id="0"/>
    <w:p w14:paraId="5C8B0ED8">
      <w:pPr>
        <w:pStyle w:val="2"/>
        <w:spacing w:line="360" w:lineRule="auto"/>
        <w:ind w:left="640"/>
        <w:rPr>
          <w:rFonts w:asciiTheme="minorEastAsia" w:hAnsiTheme="minorEastAsia" w:eastAsiaTheme="minorEastAsia"/>
        </w:rPr>
      </w:pPr>
    </w:p>
    <w:tbl>
      <w:tblPr>
        <w:tblStyle w:val="5"/>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7097"/>
      </w:tblGrid>
      <w:tr w14:paraId="72D0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3" w:type="dxa"/>
            <w:vAlign w:val="center"/>
          </w:tcPr>
          <w:p w14:paraId="214A37D7">
            <w:pPr>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岗位</w:t>
            </w:r>
            <w:r>
              <w:rPr>
                <w:rFonts w:cs="仿宋" w:asciiTheme="minorEastAsia" w:hAnsiTheme="minorEastAsia" w:eastAsiaTheme="minorEastAsia"/>
                <w:b/>
                <w:color w:val="000000" w:themeColor="text1"/>
                <w:kern w:val="0"/>
                <w:sz w:val="24"/>
                <w14:textFill>
                  <w14:solidFill>
                    <w14:schemeClr w14:val="tx1"/>
                  </w14:solidFill>
                </w14:textFill>
              </w:rPr>
              <w:t>名称</w:t>
            </w:r>
          </w:p>
        </w:tc>
        <w:tc>
          <w:tcPr>
            <w:tcW w:w="7097" w:type="dxa"/>
            <w:vAlign w:val="center"/>
          </w:tcPr>
          <w:p w14:paraId="6C304D43">
            <w:pPr>
              <w:adjustRightInd w:val="0"/>
              <w:snapToGrid w:val="0"/>
              <w:spacing w:line="360" w:lineRule="auto"/>
              <w:ind w:firstLine="2168" w:firstLineChars="900"/>
              <w:rPr>
                <w:rFonts w:hint="default"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b/>
                <w:bCs/>
                <w:color w:val="000000" w:themeColor="text1"/>
                <w:kern w:val="0"/>
                <w:sz w:val="24"/>
                <w:lang w:val="en-US" w:eastAsia="zh-CN"/>
                <w14:textFill>
                  <w14:solidFill>
                    <w14:schemeClr w14:val="tx1"/>
                  </w14:solidFill>
                </w14:textFill>
              </w:rPr>
              <w:t>数字业务</w:t>
            </w:r>
            <w:r>
              <w:rPr>
                <w:rFonts w:hint="eastAsia" w:cs="仿宋" w:asciiTheme="minorEastAsia" w:hAnsiTheme="minorEastAsia" w:eastAsiaTheme="minorEastAsia"/>
                <w:b/>
                <w:bCs/>
                <w:color w:val="000000" w:themeColor="text1"/>
                <w:kern w:val="0"/>
                <w:sz w:val="24"/>
                <w14:textFill>
                  <w14:solidFill>
                    <w14:schemeClr w14:val="tx1"/>
                  </w14:solidFill>
                </w14:textFill>
              </w:rPr>
              <w:t>部业务经理</w:t>
            </w:r>
            <w:r>
              <w:rPr>
                <w:rFonts w:hint="eastAsia" w:cs="仿宋" w:asciiTheme="minorEastAsia" w:hAnsiTheme="minorEastAsia" w:eastAsiaTheme="minorEastAsia"/>
                <w:b/>
                <w:bCs/>
                <w:color w:val="000000" w:themeColor="text1"/>
                <w:kern w:val="0"/>
                <w:sz w:val="24"/>
                <w:lang w:val="en-US" w:eastAsia="zh-CN"/>
                <w14:textFill>
                  <w14:solidFill>
                    <w14:schemeClr w14:val="tx1"/>
                  </w14:solidFill>
                </w14:textFill>
              </w:rPr>
              <w:t>1名</w:t>
            </w:r>
          </w:p>
        </w:tc>
      </w:tr>
      <w:tr w14:paraId="755A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8" w:hRule="atLeast"/>
        </w:trPr>
        <w:tc>
          <w:tcPr>
            <w:tcW w:w="1233" w:type="dxa"/>
            <w:vAlign w:val="center"/>
          </w:tcPr>
          <w:p w14:paraId="13B17768">
            <w:pPr>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主</w:t>
            </w:r>
          </w:p>
          <w:p w14:paraId="15E10EF4">
            <w:pPr>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要</w:t>
            </w:r>
          </w:p>
          <w:p w14:paraId="2A4D289C">
            <w:pPr>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职</w:t>
            </w:r>
          </w:p>
          <w:p w14:paraId="363E9CCE">
            <w:pPr>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责</w:t>
            </w:r>
          </w:p>
        </w:tc>
        <w:tc>
          <w:tcPr>
            <w:tcW w:w="7097" w:type="dxa"/>
          </w:tcPr>
          <w:p w14:paraId="3A23F476">
            <w:pPr>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_GB2312" w:asciiTheme="minorEastAsia" w:hAnsiTheme="minorEastAsia" w:eastAsiaTheme="minorEastAsia"/>
                <w:color w:val="000000" w:themeColor="text1"/>
                <w:kern w:val="0"/>
                <w:sz w:val="24"/>
                <w:szCs w:val="24"/>
                <w14:textFill>
                  <w14:solidFill>
                    <w14:schemeClr w14:val="tx1"/>
                  </w14:solidFill>
                </w14:textFill>
              </w:rPr>
              <w:t xml:space="preserve"> </w:t>
            </w: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1、承接部门下达的个人经营指标和考核任务，开展市场拓展。包括商机收集、商机推进、商机落地等一系列市场工作。以具体项目为引导，组建项目团队，牵头项目团队完成负责项目全过程管理，包括组织招采、执行签约、组织验收、开票计收、落实回款。</w:t>
            </w:r>
          </w:p>
          <w:p w14:paraId="4CCAF5D6">
            <w:pPr>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2、负责商机落地后的交付管理协调，控制项目实施进度及保障实施质量。</w:t>
            </w:r>
          </w:p>
          <w:p w14:paraId="03DD2C3D">
            <w:pPr>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3、负责项目售后服务，开展日常存量客户维系，二次挖掘项目商机。</w:t>
            </w:r>
          </w:p>
          <w:p w14:paraId="2F8433DD">
            <w:pPr>
              <w:adjustRightInd w:val="0"/>
              <w:snapToGrid w:val="0"/>
              <w:spacing w:line="360" w:lineRule="auto"/>
              <w:ind w:left="0" w:leftChars="0" w:firstLine="0" w:firstLineChars="0"/>
              <w:rPr>
                <w:rFonts w:cs="仿宋_GB2312" w:asciiTheme="minorEastAsia" w:hAnsiTheme="minorEastAsia" w:eastAsiaTheme="minorEastAsia"/>
                <w:color w:val="000000" w:themeColor="text1"/>
                <w:kern w:val="0"/>
                <w:sz w:val="24"/>
                <w:szCs w:val="24"/>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4、完成部门领导及公司领导临时交办的各项工作。</w:t>
            </w:r>
          </w:p>
        </w:tc>
      </w:tr>
      <w:tr w14:paraId="603F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0" w:hRule="atLeast"/>
        </w:trPr>
        <w:tc>
          <w:tcPr>
            <w:tcW w:w="1233" w:type="dxa"/>
            <w:vAlign w:val="center"/>
          </w:tcPr>
          <w:p w14:paraId="23156E0C">
            <w:pPr>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任</w:t>
            </w:r>
          </w:p>
          <w:p w14:paraId="160EF91A">
            <w:pPr>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职</w:t>
            </w:r>
          </w:p>
          <w:p w14:paraId="1ED7C205">
            <w:pPr>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资</w:t>
            </w:r>
          </w:p>
          <w:p w14:paraId="2E020A48">
            <w:pPr>
              <w:adjustRightInd w:val="0"/>
              <w:snapToGrid w:val="0"/>
              <w:spacing w:line="360" w:lineRule="auto"/>
              <w:ind w:left="113" w:right="113"/>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格</w:t>
            </w:r>
          </w:p>
        </w:tc>
        <w:tc>
          <w:tcPr>
            <w:tcW w:w="7097" w:type="dxa"/>
          </w:tcPr>
          <w:p w14:paraId="1F24DD26">
            <w:pPr>
              <w:pStyle w:val="8"/>
              <w:numPr>
                <w:ilvl w:val="0"/>
                <w:numId w:val="1"/>
              </w:numPr>
              <w:spacing w:line="360" w:lineRule="auto"/>
              <w:ind w:left="0" w:leftChars="0" w:firstLine="0" w:firstLineChars="0"/>
              <w:jc w:val="left"/>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仿宋_GB2312" w:asciiTheme="minorEastAsia" w:hAnsiTheme="minorEastAsia" w:eastAsiaTheme="minorEastAsia"/>
                <w:color w:val="000000" w:themeColor="text1"/>
                <w:kern w:val="0"/>
                <w:sz w:val="24"/>
                <w:szCs w:val="24"/>
                <w14:textFill>
                  <w14:solidFill>
                    <w14:schemeClr w14:val="tx1"/>
                  </w14:solidFill>
                </w14:textFill>
              </w:rPr>
              <w:t xml:space="preserve">45岁及以下（特别优秀者可放宽）通信、IT、市场营销、工商管理等专业全日制本科及以上学历（特别优秀者可放宽）， 党员优先； </w:t>
            </w:r>
          </w:p>
          <w:p w14:paraId="0B7DB390">
            <w:pPr>
              <w:pStyle w:val="8"/>
              <w:numPr>
                <w:ilvl w:val="0"/>
                <w:numId w:val="1"/>
              </w:numPr>
              <w:spacing w:line="360" w:lineRule="auto"/>
              <w:ind w:left="0" w:leftChars="0" w:firstLine="0" w:firstLineChars="0"/>
              <w:jc w:val="left"/>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仿宋_GB2312" w:asciiTheme="minorEastAsia" w:hAnsiTheme="minorEastAsia" w:eastAsiaTheme="minorEastAsia"/>
                <w:color w:val="000000" w:themeColor="text1"/>
                <w:kern w:val="0"/>
                <w:sz w:val="24"/>
                <w:szCs w:val="24"/>
                <w:lang w:val="en-US" w:eastAsia="zh-CN"/>
                <w14:textFill>
                  <w14:solidFill>
                    <w14:schemeClr w14:val="tx1"/>
                  </w14:solidFill>
                </w14:textFill>
              </w:rPr>
              <w:t>3年及以上信息系统集成项目管理工作经验；</w:t>
            </w:r>
          </w:p>
          <w:p w14:paraId="57DA3569">
            <w:pPr>
              <w:pStyle w:val="8"/>
              <w:numPr>
                <w:ilvl w:val="0"/>
                <w:numId w:val="1"/>
              </w:numPr>
              <w:spacing w:line="360" w:lineRule="auto"/>
              <w:ind w:left="0" w:leftChars="0" w:firstLine="0" w:firstLineChars="0"/>
              <w:jc w:val="left"/>
              <w:rPr>
                <w:rFonts w:cs="仿宋_GB2312" w:asciiTheme="minorEastAsia" w:hAnsiTheme="minorEastAsia" w:eastAsiaTheme="minorEastAsia"/>
                <w:color w:val="000000" w:themeColor="text1"/>
                <w:kern w:val="0"/>
                <w:sz w:val="24"/>
                <w:szCs w:val="24"/>
                <w14:textFill>
                  <w14:solidFill>
                    <w14:schemeClr w14:val="tx1"/>
                  </w14:solidFill>
                </w14:textFill>
              </w:rPr>
            </w:pPr>
            <w:r>
              <w:rPr>
                <w:rFonts w:hint="eastAsia" w:cs="仿宋_GB2312" w:asciiTheme="minorEastAsia" w:hAnsiTheme="minorEastAsia" w:eastAsiaTheme="minorEastAsia"/>
                <w:color w:val="000000" w:themeColor="text1"/>
                <w:kern w:val="0"/>
                <w:sz w:val="24"/>
                <w:szCs w:val="24"/>
                <w14:textFill>
                  <w14:solidFill>
                    <w14:schemeClr w14:val="tx1"/>
                  </w14:solidFill>
                </w14:textFill>
              </w:rPr>
              <w:t>有良好的组织沟通协调能力、人际交往能力</w:t>
            </w:r>
            <w:r>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t>，</w:t>
            </w:r>
            <w:r>
              <w:rPr>
                <w:rFonts w:hint="eastAsia" w:cs="仿宋_GB2312" w:asciiTheme="minorEastAsia" w:hAnsiTheme="minorEastAsia" w:eastAsiaTheme="minorEastAsia"/>
                <w:color w:val="000000" w:themeColor="text1"/>
                <w:kern w:val="0"/>
                <w:sz w:val="24"/>
                <w:szCs w:val="24"/>
                <w14:textFill>
                  <w14:solidFill>
                    <w14:schemeClr w14:val="tx1"/>
                  </w14:solidFill>
                </w14:textFill>
              </w:rPr>
              <w:t>较好的谈判</w:t>
            </w:r>
            <w:r>
              <w:rPr>
                <w:rFonts w:hint="eastAsia" w:cs="仿宋_GB2312" w:asciiTheme="minorEastAsia" w:hAnsiTheme="minorEastAsia" w:eastAsiaTheme="minorEastAsia"/>
                <w:color w:val="000000" w:themeColor="text1"/>
                <w:kern w:val="0"/>
                <w:sz w:val="24"/>
                <w:szCs w:val="24"/>
                <w:lang w:val="en-US" w:eastAsia="zh-CN"/>
                <w14:textFill>
                  <w14:solidFill>
                    <w14:schemeClr w14:val="tx1"/>
                  </w14:solidFill>
                </w14:textFill>
              </w:rPr>
              <w:t>能力</w:t>
            </w:r>
            <w:r>
              <w:rPr>
                <w:rFonts w:hint="eastAsia" w:cs="仿宋_GB2312" w:asciiTheme="minorEastAsia" w:hAnsiTheme="minorEastAsia" w:eastAsiaTheme="minorEastAsia"/>
                <w:color w:val="000000" w:themeColor="text1"/>
                <w:kern w:val="0"/>
                <w:sz w:val="24"/>
                <w:szCs w:val="24"/>
                <w14:textFill>
                  <w14:solidFill>
                    <w14:schemeClr w14:val="tx1"/>
                  </w14:solidFill>
                </w14:textFill>
              </w:rPr>
              <w:t>、</w:t>
            </w:r>
            <w:r>
              <w:rPr>
                <w:rFonts w:hint="eastAsia" w:cs="仿宋_GB2312" w:asciiTheme="minorEastAsia" w:hAnsiTheme="minorEastAsia" w:eastAsiaTheme="minorEastAsia"/>
                <w:color w:val="000000" w:themeColor="text1"/>
                <w:kern w:val="0"/>
                <w:sz w:val="24"/>
                <w:szCs w:val="24"/>
                <w:lang w:val="en-US" w:eastAsia="zh-CN"/>
                <w14:textFill>
                  <w14:solidFill>
                    <w14:schemeClr w14:val="tx1"/>
                  </w14:solidFill>
                </w14:textFill>
              </w:rPr>
              <w:t>营销能力、</w:t>
            </w:r>
            <w:r>
              <w:rPr>
                <w:rFonts w:hint="eastAsia" w:cs="仿宋_GB2312" w:asciiTheme="minorEastAsia" w:hAnsiTheme="minorEastAsia" w:eastAsiaTheme="minorEastAsia"/>
                <w:color w:val="000000" w:themeColor="text1"/>
                <w:kern w:val="0"/>
                <w:sz w:val="24"/>
                <w:szCs w:val="24"/>
                <w14:textFill>
                  <w14:solidFill>
                    <w14:schemeClr w14:val="tx1"/>
                  </w14:solidFill>
                </w14:textFill>
              </w:rPr>
              <w:t>应变能力和学习能力。具有优秀的道德品行，强烈的责任感</w:t>
            </w:r>
            <w:r>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t>，</w:t>
            </w:r>
            <w:r>
              <w:rPr>
                <w:rFonts w:hint="eastAsia" w:cs="仿宋_GB2312" w:asciiTheme="minorEastAsia" w:hAnsiTheme="minorEastAsia" w:eastAsiaTheme="minorEastAsia"/>
                <w:color w:val="000000" w:themeColor="text1"/>
                <w:kern w:val="0"/>
                <w:sz w:val="24"/>
                <w:szCs w:val="24"/>
                <w14:textFill>
                  <w14:solidFill>
                    <w14:schemeClr w14:val="tx1"/>
                  </w14:solidFill>
                </w14:textFill>
              </w:rPr>
              <w:t>良好的团队合作意识</w:t>
            </w:r>
            <w:r>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t>。</w:t>
            </w:r>
          </w:p>
          <w:p w14:paraId="1BC8E3C2">
            <w:pPr>
              <w:pStyle w:val="8"/>
              <w:spacing w:line="360" w:lineRule="auto"/>
              <w:ind w:left="420" w:firstLine="0" w:firstLineChars="0"/>
              <w:jc w:val="left"/>
              <w:rPr>
                <w:rFonts w:cs="仿宋_GB2312" w:asciiTheme="minorEastAsia" w:hAnsiTheme="minorEastAsia" w:eastAsiaTheme="minorEastAsia"/>
                <w:color w:val="000000" w:themeColor="text1"/>
                <w:kern w:val="0"/>
                <w:sz w:val="24"/>
                <w:szCs w:val="24"/>
                <w14:textFill>
                  <w14:solidFill>
                    <w14:schemeClr w14:val="tx1"/>
                  </w14:solidFill>
                </w14:textFill>
              </w:rPr>
            </w:pPr>
          </w:p>
        </w:tc>
      </w:tr>
    </w:tbl>
    <w:p w14:paraId="5E908385">
      <w:pPr>
        <w:spacing w:line="360" w:lineRule="auto"/>
        <w:jc w:val="both"/>
        <w:rPr>
          <w:rFonts w:hint="eastAsia" w:cs="方正小标宋简体" w:asciiTheme="minorEastAsia" w:hAnsiTheme="minorEastAsia" w:eastAsiaTheme="minorEastAsia"/>
          <w:b/>
          <w:sz w:val="44"/>
          <w:szCs w:val="44"/>
        </w:rPr>
      </w:pPr>
    </w:p>
    <w:p w14:paraId="7EF7B1C0">
      <w:pPr>
        <w:pStyle w:val="2"/>
        <w:rPr>
          <w:rFonts w:hint="eastAsia"/>
        </w:rPr>
      </w:pPr>
    </w:p>
    <w:p w14:paraId="572A05FF">
      <w:pPr>
        <w:pStyle w:val="2"/>
        <w:rPr>
          <w:rFonts w:hint="eastAsia"/>
        </w:rPr>
      </w:pPr>
    </w:p>
    <w:p w14:paraId="49363CC6">
      <w:pPr>
        <w:spacing w:line="360" w:lineRule="auto"/>
        <w:jc w:val="both"/>
        <w:rPr>
          <w:rFonts w:hint="eastAsia" w:cs="方正小标宋简体" w:asciiTheme="minorEastAsia" w:hAnsiTheme="minorEastAsia" w:eastAsiaTheme="minorEastAsia"/>
          <w:b/>
          <w:sz w:val="44"/>
          <w:szCs w:val="44"/>
        </w:rPr>
      </w:pPr>
    </w:p>
    <w:p w14:paraId="70EAF106">
      <w:pPr>
        <w:pStyle w:val="3"/>
        <w:widowControl/>
        <w:rPr>
          <w:rFonts w:hint="eastAsia"/>
        </w:rPr>
      </w:pPr>
      <w:r>
        <w:rPr>
          <w:rFonts w:hint="eastAsia"/>
        </w:rPr>
        <w:t>岗位</w:t>
      </w:r>
      <w:r>
        <w:rPr>
          <w:rFonts w:hint="eastAsia"/>
          <w:lang w:val="en-US" w:eastAsia="zh-CN"/>
        </w:rPr>
        <w:t>主要</w:t>
      </w:r>
      <w:r>
        <w:rPr>
          <w:rFonts w:hint="eastAsia"/>
        </w:rPr>
        <w:t>职责及任职资格</w:t>
      </w:r>
    </w:p>
    <w:tbl>
      <w:tblPr>
        <w:tblStyle w:val="5"/>
        <w:tblpPr w:leftFromText="180" w:rightFromText="180" w:vertAnchor="text" w:horzAnchor="page" w:tblpX="1580" w:tblpY="573"/>
        <w:tblOverlap w:val="never"/>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6962"/>
      </w:tblGrid>
      <w:tr w14:paraId="52A2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368" w:type="dxa"/>
            <w:vAlign w:val="center"/>
          </w:tcPr>
          <w:p w14:paraId="239AF593">
            <w:pPr>
              <w:keepNext/>
              <w:keepLines/>
              <w:pageBreakBefore w:val="0"/>
              <w:widowControl w:val="0"/>
              <w:kinsoku w:val="0"/>
              <w:wordWrap/>
              <w:overflowPunct w:val="0"/>
              <w:topLinePunct/>
              <w:autoSpaceDE/>
              <w:autoSpaceDN/>
              <w:bidi w:val="0"/>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岗位</w:t>
            </w:r>
            <w:r>
              <w:rPr>
                <w:rFonts w:cs="仿宋" w:asciiTheme="minorEastAsia" w:hAnsiTheme="minorEastAsia" w:eastAsiaTheme="minorEastAsia"/>
                <w:b/>
                <w:color w:val="000000" w:themeColor="text1"/>
                <w:kern w:val="0"/>
                <w:sz w:val="24"/>
                <w14:textFill>
                  <w14:solidFill>
                    <w14:schemeClr w14:val="tx1"/>
                  </w14:solidFill>
                </w14:textFill>
              </w:rPr>
              <w:t>名称</w:t>
            </w:r>
          </w:p>
        </w:tc>
        <w:tc>
          <w:tcPr>
            <w:tcW w:w="6962" w:type="dxa"/>
            <w:vAlign w:val="center"/>
          </w:tcPr>
          <w:p w14:paraId="0391A8B0">
            <w:pPr>
              <w:keepNext/>
              <w:keepLines/>
              <w:pageBreakBefore w:val="0"/>
              <w:widowControl w:val="0"/>
              <w:numPr>
                <w:ilvl w:val="0"/>
                <w:numId w:val="0"/>
              </w:numPr>
              <w:kinsoku w:val="0"/>
              <w:wordWrap/>
              <w:overflowPunct w:val="0"/>
              <w:topLinePunct/>
              <w:autoSpaceDE/>
              <w:autoSpaceDN/>
              <w:bidi w:val="0"/>
              <w:spacing w:line="360" w:lineRule="auto"/>
              <w:ind w:leftChars="68" w:firstLine="1440" w:firstLineChars="600"/>
              <w:rPr>
                <w:rFonts w:hint="default"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综合管理</w:t>
            </w:r>
            <w:r>
              <w:rPr>
                <w:rFonts w:hint="eastAsia" w:cs="仿宋" w:asciiTheme="minorEastAsia" w:hAnsiTheme="minorEastAsia" w:eastAsiaTheme="minorEastAsia"/>
                <w:color w:val="000000" w:themeColor="text1"/>
                <w:kern w:val="0"/>
                <w:sz w:val="24"/>
                <w14:textFill>
                  <w14:solidFill>
                    <w14:schemeClr w14:val="tx1"/>
                  </w14:solidFill>
                </w14:textFill>
              </w:rPr>
              <w:t>部</w:t>
            </w: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党群综合岗1名</w:t>
            </w:r>
          </w:p>
        </w:tc>
      </w:tr>
      <w:tr w14:paraId="26E5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8" w:hRule="atLeast"/>
        </w:trPr>
        <w:tc>
          <w:tcPr>
            <w:tcW w:w="1368" w:type="dxa"/>
            <w:vAlign w:val="center"/>
          </w:tcPr>
          <w:p w14:paraId="169E4BCB">
            <w:pPr>
              <w:keepNext w:val="0"/>
              <w:keepLines w:val="0"/>
              <w:pageBreakBefore w:val="0"/>
              <w:widowControl w:val="0"/>
              <w:kinsoku/>
              <w:wordWrap/>
              <w:overflowPunct/>
              <w:topLinePunct/>
              <w:autoSpaceDE/>
              <w:autoSpaceDN/>
              <w:bidi w:val="0"/>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主</w:t>
            </w:r>
          </w:p>
          <w:p w14:paraId="1407C930">
            <w:pPr>
              <w:keepNext w:val="0"/>
              <w:keepLines w:val="0"/>
              <w:pageBreakBefore w:val="0"/>
              <w:widowControl w:val="0"/>
              <w:kinsoku/>
              <w:wordWrap/>
              <w:overflowPunct/>
              <w:topLinePunct/>
              <w:autoSpaceDE/>
              <w:autoSpaceDN/>
              <w:bidi w:val="0"/>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要</w:t>
            </w:r>
          </w:p>
          <w:p w14:paraId="760E6EFE">
            <w:pPr>
              <w:keepNext w:val="0"/>
              <w:keepLines w:val="0"/>
              <w:pageBreakBefore w:val="0"/>
              <w:widowControl w:val="0"/>
              <w:kinsoku/>
              <w:wordWrap/>
              <w:overflowPunct/>
              <w:topLinePunct/>
              <w:autoSpaceDE/>
              <w:autoSpaceDN/>
              <w:bidi w:val="0"/>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职</w:t>
            </w:r>
          </w:p>
          <w:p w14:paraId="765179E9">
            <w:pPr>
              <w:keepNext w:val="0"/>
              <w:keepLines w:val="0"/>
              <w:pageBreakBefore w:val="0"/>
              <w:widowControl w:val="0"/>
              <w:kinsoku/>
              <w:wordWrap/>
              <w:overflowPunct/>
              <w:topLinePunct/>
              <w:autoSpaceDE/>
              <w:autoSpaceDN/>
              <w:bidi w:val="0"/>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责</w:t>
            </w:r>
          </w:p>
        </w:tc>
        <w:tc>
          <w:tcPr>
            <w:tcW w:w="6962" w:type="dxa"/>
          </w:tcPr>
          <w:p w14:paraId="5C9BA70A">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_GB2312" w:asciiTheme="minorEastAsia" w:hAnsiTheme="minorEastAsia" w:eastAsiaTheme="minorEastAsia"/>
                <w:color w:val="000000" w:themeColor="text1"/>
                <w:kern w:val="0"/>
                <w:sz w:val="24"/>
                <w:szCs w:val="24"/>
                <w14:textFill>
                  <w14:solidFill>
                    <w14:schemeClr w14:val="tx1"/>
                  </w14:solidFill>
                </w14:textFill>
              </w:rPr>
              <w:t xml:space="preserve"> </w:t>
            </w: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1.党建</w:t>
            </w:r>
          </w:p>
          <w:p w14:paraId="0DFCE90B">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（1）公司党政联席会组织；</w:t>
            </w:r>
          </w:p>
          <w:p w14:paraId="4E0A3386">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（2）日常党务管理：负责党组织日常基础工作，包括党员发展、组织关系转接、党费收缴管理，对接上级党组织安排的各项工作；</w:t>
            </w:r>
          </w:p>
          <w:p w14:paraId="3E75DC54">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（3）材料撰写与活动策划：承担党建相关的材料撰写工作，如工作总结、报告、宣传稿及活动方案等；同时策划组织党内学习、主题党日、培训等活动，并完成全流程协调与资料归档</w:t>
            </w:r>
          </w:p>
          <w:p w14:paraId="3E5222D9">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（4）意识形态与宣传：负责公司对外宣传与舆情管理，运营官网、微信公众号等平台管理。</w:t>
            </w:r>
          </w:p>
          <w:p w14:paraId="6DB23EB6">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（5）群团工作协助：协助开展工会、共青团等群团工作。</w:t>
            </w:r>
          </w:p>
          <w:p w14:paraId="25486D2D">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2. 纪检</w:t>
            </w:r>
          </w:p>
          <w:p w14:paraId="2F49F45C">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（1）协助落实上级纪委、公司党委党风廉政建设和反腐败工作部署，制定工作计划、撰写报告等材料，推动纪检工作规范化、制度化；开展日常监督、专项督查及执纪问责工作；</w:t>
            </w:r>
          </w:p>
          <w:p w14:paraId="616A31B4">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（2）参与完善纪检监察制度体系，优化廉政风险防控、信访举报、干部监督等工作流程，推动纪检工作与公司业务融合，提升工作规范化水平；</w:t>
            </w:r>
          </w:p>
          <w:p w14:paraId="686FEF68">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（3）负责开展政治监督、日常监督和专项监督工作等，起草监督检查报告，协调推动监督发现问题整改；</w:t>
            </w:r>
          </w:p>
          <w:p w14:paraId="47DF015A">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（4）负责开展廉洁教育、警示教育，起草各类警示教育材料、通报材料等；</w:t>
            </w:r>
          </w:p>
          <w:p w14:paraId="04F64322">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3. 公文管理</w:t>
            </w:r>
          </w:p>
          <w:p w14:paraId="2515B1BF">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（1）处理日常文案工作，包括起草各类公文、行政文件、总结报告等材料，收发文归档；</w:t>
            </w:r>
          </w:p>
          <w:p w14:paraId="49B10956">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（2）组织公司层级会议并撰写会议材料，编制会议纪要，督促检查会议决议的贯彻实施；</w:t>
            </w:r>
          </w:p>
          <w:p w14:paraId="5F57EC22">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（3）传达上级及公司的通知、决定等。</w:t>
            </w:r>
          </w:p>
          <w:p w14:paraId="1C7A9E1B">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4. 审计</w:t>
            </w:r>
          </w:p>
          <w:p w14:paraId="3CD9ED53">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1）审计对接与协调：负责与上级审计部门或外部审计机构的联络，承办审计相关事项的传达与落实；迎审组织协调,按要求提供审计所需资料，确保资料完整、准确、及时,配合审计组开展访谈、现场核查等工作，协调解决审计过程中出现的问题。</w:t>
            </w:r>
          </w:p>
          <w:p w14:paraId="6AFF3D69">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（2）汇总审计结果，梳理出存在的突出问题和风险事项，撰写审计报告，并完成结果沟通汇报、征求意见等工作；</w:t>
            </w:r>
          </w:p>
          <w:p w14:paraId="4BDBF0C4">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（3）负责督促审计问题和审计建议的整改落实，做好整改评估、上会、发文等工作，并完成审计资料的收集、整理、归档、信息录入等工作。</w:t>
            </w:r>
          </w:p>
          <w:p w14:paraId="1F494769">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（4）常规组织开展公司经营项目内审自查，组织自查整改，以集团及上级公司对项目审计管理要求编制完整的项目审计归档资料。</w:t>
            </w:r>
          </w:p>
          <w:p w14:paraId="4AA67C3E">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5. 合规管理</w:t>
            </w:r>
          </w:p>
          <w:p w14:paraId="5BB8EDD6">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（1）制定公司的风控体系建设，参与内控制度建设；</w:t>
            </w:r>
          </w:p>
          <w:p w14:paraId="0B74ED92">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（2）配合集团、上级公司及监管部门的各项专项检查及合规审计工作，撰写总结、报告等；</w:t>
            </w:r>
          </w:p>
          <w:p w14:paraId="566EDBE1">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（3）对接公司法务工作；</w:t>
            </w:r>
          </w:p>
          <w:p w14:paraId="06DA50E0">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6. 公司公章保管。</w:t>
            </w:r>
          </w:p>
          <w:p w14:paraId="020986F7">
            <w:pPr>
              <w:keepNext w:val="0"/>
              <w:keepLines w:val="0"/>
              <w:pageBreakBefore w:val="0"/>
              <w:widowControl w:val="0"/>
              <w:kinsoku/>
              <w:wordWrap/>
              <w:overflowPunct/>
              <w:topLinePunct/>
              <w:autoSpaceDE/>
              <w:autoSpaceDN/>
              <w:bidi w:val="0"/>
              <w:adjustRightInd w:val="0"/>
              <w:snapToGrid w:val="0"/>
              <w:spacing w:line="360" w:lineRule="auto"/>
              <w:ind w:left="0" w:leftChars="0" w:firstLine="0" w:firstLineChars="0"/>
              <w:rPr>
                <w:rFonts w:cs="仿宋_GB2312" w:asciiTheme="minorEastAsia" w:hAnsiTheme="minorEastAsia" w:eastAsiaTheme="minorEastAsia"/>
                <w:color w:val="000000" w:themeColor="text1"/>
                <w:kern w:val="0"/>
                <w:sz w:val="24"/>
                <w:szCs w:val="24"/>
                <w14:textFill>
                  <w14:solidFill>
                    <w14:schemeClr w14:val="tx1"/>
                  </w14:solidFill>
                </w14:textFill>
              </w:rPr>
            </w:pPr>
            <w:r>
              <w:rPr>
                <w:rFonts w:hint="eastAsia" w:cs="仿宋" w:asciiTheme="minorEastAsia" w:hAnsiTheme="minorEastAsia" w:eastAsiaTheme="minorEastAsia"/>
                <w:color w:val="000000" w:themeColor="text1"/>
                <w:kern w:val="0"/>
                <w:sz w:val="24"/>
                <w:lang w:val="en-US" w:eastAsia="zh-CN"/>
                <w14:textFill>
                  <w14:solidFill>
                    <w14:schemeClr w14:val="tx1"/>
                  </w14:solidFill>
                </w14:textFill>
              </w:rPr>
              <w:t>7.  其他临时交办的工作任务。</w:t>
            </w:r>
          </w:p>
        </w:tc>
      </w:tr>
      <w:tr w14:paraId="18CD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trPr>
        <w:tc>
          <w:tcPr>
            <w:tcW w:w="1368" w:type="dxa"/>
            <w:vAlign w:val="center"/>
          </w:tcPr>
          <w:p w14:paraId="328BE551">
            <w:pPr>
              <w:keepNext w:val="0"/>
              <w:keepLines w:val="0"/>
              <w:pageBreakBefore w:val="0"/>
              <w:widowControl w:val="0"/>
              <w:kinsoku/>
              <w:wordWrap/>
              <w:overflowPunct/>
              <w:topLinePunct/>
              <w:autoSpaceDE/>
              <w:autoSpaceDN/>
              <w:bidi w:val="0"/>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任</w:t>
            </w:r>
          </w:p>
          <w:p w14:paraId="6FF67435">
            <w:pPr>
              <w:keepNext w:val="0"/>
              <w:keepLines w:val="0"/>
              <w:pageBreakBefore w:val="0"/>
              <w:widowControl w:val="0"/>
              <w:kinsoku/>
              <w:wordWrap/>
              <w:overflowPunct/>
              <w:topLinePunct/>
              <w:autoSpaceDE/>
              <w:autoSpaceDN/>
              <w:bidi w:val="0"/>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职</w:t>
            </w:r>
          </w:p>
          <w:p w14:paraId="438E6226">
            <w:pPr>
              <w:keepNext w:val="0"/>
              <w:keepLines w:val="0"/>
              <w:pageBreakBefore w:val="0"/>
              <w:widowControl w:val="0"/>
              <w:kinsoku/>
              <w:wordWrap/>
              <w:overflowPunct/>
              <w:topLinePunct/>
              <w:autoSpaceDE/>
              <w:autoSpaceDN/>
              <w:bidi w:val="0"/>
              <w:adjustRightInd w:val="0"/>
              <w:snapToGrid w:val="0"/>
              <w:spacing w:line="360" w:lineRule="auto"/>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资</w:t>
            </w:r>
          </w:p>
          <w:p w14:paraId="0B5F5656">
            <w:pPr>
              <w:keepNext w:val="0"/>
              <w:keepLines w:val="0"/>
              <w:pageBreakBefore w:val="0"/>
              <w:widowControl w:val="0"/>
              <w:kinsoku/>
              <w:wordWrap/>
              <w:overflowPunct/>
              <w:topLinePunct/>
              <w:autoSpaceDE/>
              <w:autoSpaceDN/>
              <w:bidi w:val="0"/>
              <w:adjustRightInd w:val="0"/>
              <w:snapToGrid w:val="0"/>
              <w:spacing w:line="360" w:lineRule="auto"/>
              <w:ind w:left="113" w:right="113"/>
              <w:jc w:val="center"/>
              <w:rPr>
                <w:rFonts w:cs="仿宋" w:asciiTheme="minorEastAsia" w:hAnsiTheme="minorEastAsia" w:eastAsiaTheme="minorEastAsia"/>
                <w:b/>
                <w:color w:val="000000" w:themeColor="text1"/>
                <w:kern w:val="0"/>
                <w:sz w:val="24"/>
                <w14:textFill>
                  <w14:solidFill>
                    <w14:schemeClr w14:val="tx1"/>
                  </w14:solidFill>
                </w14:textFill>
              </w:rPr>
            </w:pPr>
            <w:r>
              <w:rPr>
                <w:rFonts w:hint="eastAsia" w:cs="仿宋" w:asciiTheme="minorEastAsia" w:hAnsiTheme="minorEastAsia" w:eastAsiaTheme="minorEastAsia"/>
                <w:b/>
                <w:color w:val="000000" w:themeColor="text1"/>
                <w:kern w:val="0"/>
                <w:sz w:val="24"/>
                <w14:textFill>
                  <w14:solidFill>
                    <w14:schemeClr w14:val="tx1"/>
                  </w14:solidFill>
                </w14:textFill>
              </w:rPr>
              <w:t>格</w:t>
            </w:r>
          </w:p>
        </w:tc>
        <w:tc>
          <w:tcPr>
            <w:tcW w:w="6962" w:type="dxa"/>
            <w:vAlign w:val="top"/>
          </w:tcPr>
          <w:p w14:paraId="245C11E6">
            <w:pPr>
              <w:pStyle w:val="8"/>
              <w:keepNext w:val="0"/>
              <w:keepLines w:val="0"/>
              <w:pageBreakBefore w:val="0"/>
              <w:widowControl w:val="0"/>
              <w:numPr>
                <w:ilvl w:val="0"/>
                <w:numId w:val="2"/>
              </w:numPr>
              <w:kinsoku/>
              <w:wordWrap/>
              <w:overflowPunct/>
              <w:topLinePunct/>
              <w:autoSpaceDE/>
              <w:autoSpaceDN/>
              <w:bidi w:val="0"/>
              <w:spacing w:line="360" w:lineRule="auto"/>
              <w:ind w:left="0" w:leftChars="0" w:firstLine="0" w:firstLineChars="0"/>
              <w:jc w:val="left"/>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仿宋_GB2312" w:asciiTheme="minorEastAsia" w:hAnsiTheme="minorEastAsia" w:eastAsiaTheme="minorEastAsia"/>
                <w:color w:val="000000" w:themeColor="text1"/>
                <w:kern w:val="0"/>
                <w:sz w:val="24"/>
                <w:szCs w:val="24"/>
                <w14:textFill>
                  <w14:solidFill>
                    <w14:schemeClr w14:val="tx1"/>
                  </w14:solidFill>
                </w14:textFill>
              </w:rPr>
              <w:t>45岁及以下（特别优秀者可放宽）思想政治教育</w:t>
            </w:r>
            <w:r>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t>、汉语言文学、新闻</w:t>
            </w:r>
            <w:r>
              <w:rPr>
                <w:rFonts w:hint="eastAsia" w:cs="仿宋_GB2312" w:asciiTheme="minorEastAsia" w:hAnsiTheme="minorEastAsia" w:eastAsiaTheme="minorEastAsia"/>
                <w:color w:val="000000" w:themeColor="text1"/>
                <w:kern w:val="0"/>
                <w:sz w:val="24"/>
                <w:szCs w:val="24"/>
                <w:lang w:val="en-US" w:eastAsia="zh-CN"/>
                <w14:textFill>
                  <w14:solidFill>
                    <w14:schemeClr w14:val="tx1"/>
                  </w14:solidFill>
                </w14:textFill>
              </w:rPr>
              <w:t>学、管理学、</w:t>
            </w:r>
            <w:r>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t>法学</w:t>
            </w:r>
            <w:r>
              <w:rPr>
                <w:rFonts w:hint="eastAsia" w:cs="仿宋_GB2312" w:asciiTheme="minorEastAsia" w:hAnsiTheme="minorEastAsia" w:eastAsiaTheme="minorEastAsia"/>
                <w:color w:val="000000" w:themeColor="text1"/>
                <w:kern w:val="0"/>
                <w:sz w:val="24"/>
                <w:szCs w:val="24"/>
                <w:lang w:val="en-US" w:eastAsia="zh-CN"/>
                <w14:textFill>
                  <w14:solidFill>
                    <w14:schemeClr w14:val="tx1"/>
                  </w14:solidFill>
                </w14:textFill>
              </w:rPr>
              <w:t>等</w:t>
            </w:r>
            <w:r>
              <w:rPr>
                <w:rFonts w:hint="eastAsia" w:cs="仿宋_GB2312" w:asciiTheme="minorEastAsia" w:hAnsiTheme="minorEastAsia" w:eastAsiaTheme="minorEastAsia"/>
                <w:color w:val="000000" w:themeColor="text1"/>
                <w:kern w:val="0"/>
                <w:sz w:val="24"/>
                <w:szCs w:val="24"/>
                <w14:textFill>
                  <w14:solidFill>
                    <w14:schemeClr w14:val="tx1"/>
                  </w14:solidFill>
                </w14:textFill>
              </w:rPr>
              <w:t>专业全日制本科及以上学历（特别优秀者可放宽）</w:t>
            </w:r>
            <w:r>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t>，</w:t>
            </w:r>
            <w:r>
              <w:rPr>
                <w:rFonts w:hint="eastAsia" w:cs="仿宋_GB2312" w:asciiTheme="minorEastAsia" w:hAnsiTheme="minorEastAsia" w:eastAsiaTheme="minorEastAsia"/>
                <w:color w:val="000000" w:themeColor="text1"/>
                <w:kern w:val="0"/>
                <w:sz w:val="24"/>
                <w:szCs w:val="24"/>
                <w:lang w:val="en-US" w:eastAsia="zh-CN"/>
                <w14:textFill>
                  <w14:solidFill>
                    <w14:schemeClr w14:val="tx1"/>
                  </w14:solidFill>
                </w14:textFill>
              </w:rPr>
              <w:t>中共党员</w:t>
            </w:r>
            <w:r>
              <w:rPr>
                <w:rFonts w:hint="eastAsia" w:cs="仿宋_GB2312" w:asciiTheme="minorEastAsia" w:hAnsiTheme="minorEastAsia" w:eastAsiaTheme="minorEastAsia"/>
                <w:color w:val="000000" w:themeColor="text1"/>
                <w:kern w:val="0"/>
                <w:sz w:val="24"/>
                <w:szCs w:val="24"/>
                <w14:textFill>
                  <w14:solidFill>
                    <w14:schemeClr w14:val="tx1"/>
                  </w14:solidFill>
                </w14:textFill>
              </w:rPr>
              <w:t xml:space="preserve">； </w:t>
            </w:r>
          </w:p>
          <w:p w14:paraId="180D7D37">
            <w:pPr>
              <w:pStyle w:val="8"/>
              <w:keepNext w:val="0"/>
              <w:keepLines w:val="0"/>
              <w:pageBreakBefore w:val="0"/>
              <w:widowControl w:val="0"/>
              <w:numPr>
                <w:ilvl w:val="0"/>
                <w:numId w:val="2"/>
              </w:numPr>
              <w:kinsoku/>
              <w:wordWrap/>
              <w:overflowPunct/>
              <w:topLinePunct/>
              <w:autoSpaceDE/>
              <w:autoSpaceDN/>
              <w:bidi w:val="0"/>
              <w:spacing w:line="360" w:lineRule="auto"/>
              <w:ind w:left="0" w:leftChars="0" w:firstLine="0" w:firstLineChars="0"/>
              <w:jc w:val="left"/>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仿宋_GB2312" w:asciiTheme="minorEastAsia" w:hAnsiTheme="minorEastAsia" w:eastAsiaTheme="minorEastAsia"/>
                <w:color w:val="000000" w:themeColor="text1"/>
                <w:kern w:val="0"/>
                <w:sz w:val="24"/>
                <w:szCs w:val="24"/>
                <w:lang w:val="en-US" w:eastAsia="zh-CN"/>
                <w14:textFill>
                  <w14:solidFill>
                    <w14:schemeClr w14:val="tx1"/>
                  </w14:solidFill>
                </w14:textFill>
              </w:rPr>
              <w:t>3年及以上党建、纪检、审计或文秘等相关工作经验；</w:t>
            </w:r>
          </w:p>
          <w:p w14:paraId="287DA543">
            <w:pPr>
              <w:pStyle w:val="8"/>
              <w:keepNext w:val="0"/>
              <w:keepLines w:val="0"/>
              <w:pageBreakBefore w:val="0"/>
              <w:widowControl w:val="0"/>
              <w:numPr>
                <w:ilvl w:val="0"/>
                <w:numId w:val="1"/>
              </w:numPr>
              <w:kinsoku/>
              <w:wordWrap/>
              <w:overflowPunct/>
              <w:topLinePunct/>
              <w:autoSpaceDE/>
              <w:autoSpaceDN/>
              <w:bidi w:val="0"/>
              <w:spacing w:line="360" w:lineRule="auto"/>
              <w:ind w:left="0" w:leftChars="0" w:firstLine="0" w:firstLineChars="0"/>
              <w:jc w:val="left"/>
              <w:rPr>
                <w:rFonts w:cs="仿宋_GB2312" w:asciiTheme="minorEastAsia" w:hAnsiTheme="minorEastAsia" w:eastAsiaTheme="minorEastAsia"/>
                <w:color w:val="000000" w:themeColor="text1"/>
                <w:kern w:val="0"/>
                <w:sz w:val="24"/>
                <w:szCs w:val="24"/>
                <w14:textFill>
                  <w14:solidFill>
                    <w14:schemeClr w14:val="tx1"/>
                  </w14:solidFill>
                </w14:textFill>
              </w:rPr>
            </w:pPr>
            <w:r>
              <w:rPr>
                <w:rFonts w:hint="eastAsia" w:cs="仿宋_GB2312" w:asciiTheme="minorEastAsia" w:hAnsiTheme="minorEastAsia" w:eastAsiaTheme="minorEastAsia"/>
                <w:color w:val="000000" w:themeColor="text1"/>
                <w:kern w:val="0"/>
                <w:sz w:val="24"/>
                <w:szCs w:val="24"/>
                <w14:textFill>
                  <w14:solidFill>
                    <w14:schemeClr w14:val="tx1"/>
                  </w14:solidFill>
                </w14:textFill>
              </w:rPr>
              <w:t>有良好的组织</w:t>
            </w:r>
            <w:r>
              <w:rPr>
                <w:rFonts w:hint="eastAsia" w:cs="仿宋_GB2312" w:asciiTheme="minorEastAsia" w:hAnsiTheme="minorEastAsia" w:eastAsiaTheme="minorEastAsia"/>
                <w:color w:val="000000" w:themeColor="text1"/>
                <w:kern w:val="0"/>
                <w:sz w:val="24"/>
                <w:szCs w:val="24"/>
                <w:lang w:val="en-US" w:eastAsia="zh-CN"/>
                <w14:textFill>
                  <w14:solidFill>
                    <w14:schemeClr w14:val="tx1"/>
                  </w14:solidFill>
                </w14:textFill>
              </w:rPr>
              <w:t>沟通协调能力</w:t>
            </w:r>
            <w:r>
              <w:rPr>
                <w:rFonts w:hint="eastAsia" w:cs="仿宋_GB2312" w:asciiTheme="minorEastAsia" w:hAnsiTheme="minorEastAsia" w:eastAsiaTheme="minorEastAsia"/>
                <w:color w:val="000000" w:themeColor="text1"/>
                <w:kern w:val="0"/>
                <w:sz w:val="24"/>
                <w:szCs w:val="24"/>
                <w14:textFill>
                  <w14:solidFill>
                    <w14:schemeClr w14:val="tx1"/>
                  </w14:solidFill>
                </w14:textFill>
              </w:rPr>
              <w:t>、人际交往能力</w:t>
            </w:r>
            <w:r>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t>，</w:t>
            </w:r>
            <w:r>
              <w:rPr>
                <w:rFonts w:hint="eastAsia" w:cs="仿宋_GB2312" w:asciiTheme="minorEastAsia" w:hAnsiTheme="minorEastAsia" w:eastAsiaTheme="minorEastAsia"/>
                <w:color w:val="000000" w:themeColor="text1"/>
                <w:kern w:val="0"/>
                <w:sz w:val="24"/>
                <w:szCs w:val="24"/>
                <w14:textFill>
                  <w14:solidFill>
                    <w14:schemeClr w14:val="tx1"/>
                  </w14:solidFill>
                </w14:textFill>
              </w:rPr>
              <w:t>具备良好的公文写作能力，合规意识强。具有优秀的道德品行，强烈的责任感</w:t>
            </w:r>
            <w:r>
              <w:rPr>
                <w:rFonts w:hint="eastAsia" w:cs="仿宋_GB2312" w:asciiTheme="minorEastAsia" w:hAnsiTheme="minorEastAsia" w:eastAsiaTheme="minorEastAsia"/>
                <w:color w:val="000000" w:themeColor="text1"/>
                <w:kern w:val="0"/>
                <w:sz w:val="24"/>
                <w:szCs w:val="24"/>
                <w:lang w:eastAsia="zh-CN"/>
                <w14:textFill>
                  <w14:solidFill>
                    <w14:schemeClr w14:val="tx1"/>
                  </w14:solidFill>
                </w14:textFill>
              </w:rPr>
              <w:t>。</w:t>
            </w:r>
          </w:p>
        </w:tc>
      </w:tr>
    </w:tbl>
    <w:p w14:paraId="57E68DE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7132A19-125F-44B2-A90E-4079A5356050}"/>
  </w:font>
  <w:font w:name="方正小标宋简体">
    <w:panose1 w:val="02000000000000000000"/>
    <w:charset w:val="86"/>
    <w:family w:val="auto"/>
    <w:pitch w:val="default"/>
    <w:sig w:usb0="00000001" w:usb1="080E0000" w:usb2="00000000" w:usb3="00000000" w:csb0="00040000" w:csb1="00000000"/>
    <w:embedRegular r:id="rId2" w:fontKey="{864E7AB4-F376-415E-9585-B97ACD25AD6C}"/>
  </w:font>
  <w:font w:name="仿宋">
    <w:panose1 w:val="02010609060101010101"/>
    <w:charset w:val="86"/>
    <w:family w:val="modern"/>
    <w:pitch w:val="default"/>
    <w:sig w:usb0="800002BF" w:usb1="38CF7CFA" w:usb2="00000016" w:usb3="00000000" w:csb0="00040001" w:csb1="00000000"/>
    <w:embedRegular r:id="rId3" w:fontKey="{ABD70E13-6398-42B3-B729-708705694C89}"/>
  </w:font>
  <w:font w:name="仿宋_GB2312">
    <w:panose1 w:val="02010609030101010101"/>
    <w:charset w:val="86"/>
    <w:family w:val="modern"/>
    <w:pitch w:val="default"/>
    <w:sig w:usb0="00000001" w:usb1="080E0000" w:usb2="00000000" w:usb3="00000000" w:csb0="00040000" w:csb1="00000000"/>
    <w:embedRegular r:id="rId4" w:fontKey="{2A3355B5-CBD7-4421-9663-644C47E4458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11A352"/>
    <w:multiLevelType w:val="singleLevel"/>
    <w:tmpl w:val="5A11A352"/>
    <w:lvl w:ilvl="0" w:tentative="0">
      <w:start w:val="1"/>
      <w:numFmt w:val="decimal"/>
      <w:suff w:val="space"/>
      <w:lvlText w:val="%1."/>
      <w:lvlJc w:val="left"/>
    </w:lvl>
  </w:abstractNum>
  <w:abstractNum w:abstractNumId="1">
    <w:nsid w:val="766E77D9"/>
    <w:multiLevelType w:val="singleLevel"/>
    <w:tmpl w:val="766E77D9"/>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6A5D9C"/>
    <w:rsid w:val="636A5D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2"/>
    <w:basedOn w:val="1"/>
    <w:unhideWhenUsed/>
    <w:qFormat/>
    <w:uiPriority w:val="0"/>
    <w:pPr>
      <w:spacing w:after="120" w:line="480" w:lineRule="auto"/>
      <w:ind w:left="420" w:leftChars="200"/>
    </w:pPr>
  </w:style>
  <w:style w:type="paragraph" w:styleId="3">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附录标题"/>
    <w:next w:val="1"/>
    <w:qFormat/>
    <w:uiPriority w:val="0"/>
    <w:pPr>
      <w:overflowPunct w:val="0"/>
      <w:topLinePunct/>
      <w:spacing w:line="560" w:lineRule="exact"/>
      <w:jc w:val="left"/>
      <w:outlineLvl w:val="0"/>
    </w:pPr>
    <w:rPr>
      <w:rFonts w:ascii="黑体" w:hAnsi="黑体" w:eastAsia="黑体" w:cs="黑体"/>
      <w:sz w:val="32"/>
      <w:szCs w:val="32"/>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2026-09-09T07:47:00Z</dcterms:created>
  <dc:creator>luvivi</dc:creator>
  <cp:lastModifiedBy>luvivi</cp:lastModifiedBy>
  <dcterms:modified xsi:type="dcterms:W3CDTF">2026-09-09T07:51:09Z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35B3DD369AC04081A26CB515764D983E_11</vt:lpwstr>
  </property>
  <property fmtid="{D5CDD505-2E9C-101B-9397-08002B2CF9AE}" pid="4" name="KSOTemplateDocerSaveRecord">
    <vt:lpwstr>eyJoZGlkIjoiM2VlZGEzZWQyMzgwYzZmYzc1Y2JmZTFjZTI3ZDhkNjciLCJ1c2VySWQiOiI3NzUyODI0NzkifQ==</vt:lpwstr>
  </property>
</Properties>
</file>